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C6" w:rsidRPr="000B27F5" w:rsidRDefault="00A67DC6" w:rsidP="00A67DC6">
      <w:pPr>
        <w:widowControl/>
        <w:suppressAutoHyphens w:val="0"/>
        <w:spacing w:line="276" w:lineRule="auto"/>
        <w:ind w:firstLine="709"/>
        <w:jc w:val="right"/>
        <w:rPr>
          <w:rFonts w:eastAsia="Times New Roman"/>
          <w:iCs/>
          <w:kern w:val="0"/>
          <w:sz w:val="18"/>
          <w:szCs w:val="18"/>
          <w:lang w:eastAsia="ru-RU"/>
        </w:rPr>
      </w:pPr>
    </w:p>
    <w:p w:rsidR="00A67DC6" w:rsidRPr="005A44EE" w:rsidRDefault="00A67DC6" w:rsidP="00A67DC6">
      <w:pPr>
        <w:suppressAutoHyphens w:val="0"/>
        <w:ind w:firstLine="720"/>
        <w:jc w:val="center"/>
        <w:rPr>
          <w:rFonts w:eastAsia="Times New Roman"/>
          <w:b/>
          <w:snapToGrid w:val="0"/>
          <w:kern w:val="0"/>
          <w:sz w:val="20"/>
          <w:szCs w:val="20"/>
          <w:lang w:eastAsia="ru-RU"/>
        </w:rPr>
      </w:pPr>
      <w:r w:rsidRPr="005A44EE">
        <w:rPr>
          <w:rFonts w:eastAsia="Times New Roman"/>
          <w:b/>
          <w:snapToGrid w:val="0"/>
          <w:kern w:val="0"/>
          <w:sz w:val="20"/>
          <w:szCs w:val="20"/>
          <w:lang w:eastAsia="ru-RU"/>
        </w:rPr>
        <w:t xml:space="preserve">Анализ аварийности </w:t>
      </w:r>
    </w:p>
    <w:p w:rsidR="00A67DC6" w:rsidRPr="005A44EE" w:rsidRDefault="00A67DC6" w:rsidP="00A67DC6">
      <w:pPr>
        <w:suppressAutoHyphens w:val="0"/>
        <w:ind w:firstLine="720"/>
        <w:jc w:val="center"/>
        <w:rPr>
          <w:rFonts w:eastAsia="Times New Roman"/>
          <w:b/>
          <w:snapToGrid w:val="0"/>
          <w:kern w:val="0"/>
          <w:sz w:val="20"/>
          <w:szCs w:val="20"/>
          <w:lang w:eastAsia="ru-RU"/>
        </w:rPr>
      </w:pPr>
      <w:r w:rsidRPr="005A44EE">
        <w:rPr>
          <w:rFonts w:eastAsia="Times New Roman"/>
          <w:b/>
          <w:snapToGrid w:val="0"/>
          <w:kern w:val="0"/>
          <w:sz w:val="20"/>
          <w:szCs w:val="20"/>
          <w:lang w:eastAsia="ru-RU"/>
        </w:rPr>
        <w:t>с участием несовершеннолетних за 4 месяца 2018 года</w:t>
      </w:r>
    </w:p>
    <w:p w:rsidR="00A67DC6" w:rsidRPr="005A44EE" w:rsidRDefault="00A67DC6" w:rsidP="00A67DC6">
      <w:pPr>
        <w:suppressAutoHyphens w:val="0"/>
        <w:ind w:firstLine="720"/>
        <w:jc w:val="center"/>
        <w:rPr>
          <w:rFonts w:eastAsia="Times New Roman"/>
          <w:b/>
          <w:snapToGrid w:val="0"/>
          <w:kern w:val="0"/>
          <w:sz w:val="20"/>
          <w:szCs w:val="20"/>
          <w:lang w:eastAsia="ru-RU"/>
        </w:rPr>
      </w:pPr>
    </w:p>
    <w:p w:rsidR="00A67DC6" w:rsidRPr="005A44EE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уменьшилось. Так, на дорогах республики зарегистрировано 45 ДТП (АППГ – 46), в которых число несовершеннолетних получивших травмы уменьшилось на 10% (с 55 до 50) и один ребенок погиб (АППГ – 1). По неосторожности детей произошло 11 ДТП (24,4% от общего числа ДТП).</w:t>
      </w:r>
    </w:p>
    <w:p w:rsidR="00A67DC6" w:rsidRPr="000B27F5" w:rsidRDefault="00A67DC6" w:rsidP="00A67DC6">
      <w:pPr>
        <w:suppressAutoHyphens w:val="0"/>
        <w:jc w:val="center"/>
        <w:rPr>
          <w:rFonts w:eastAsia="Times New Roman"/>
          <w:snapToGrid w:val="0"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3419475" cy="207645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67DC6" w:rsidRPr="005A44EE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Распределение пострадавших по возрастным категориям:</w:t>
      </w:r>
    </w:p>
    <w:p w:rsidR="00A67DC6" w:rsidRPr="005A44EE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– до 2-х лет: 5 (9,8%) детей. </w:t>
      </w:r>
    </w:p>
    <w:p w:rsidR="00A67DC6" w:rsidRPr="005A44EE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– от 3 до 6 лет: 11 (21,6%) несовершеннолетних.</w:t>
      </w:r>
    </w:p>
    <w:p w:rsidR="00A67DC6" w:rsidRPr="005A44EE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– от 7 до 10 лет: 22 (43,1%) несовершеннолетних.</w:t>
      </w:r>
    </w:p>
    <w:p w:rsidR="00A67DC6" w:rsidRPr="005A44EE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– от 11 до 15 лет: 13 (25,5%) несовершеннолетних.</w:t>
      </w:r>
    </w:p>
    <w:p w:rsidR="00A67DC6" w:rsidRPr="005A44EE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Таким образом, наибольший процент пострадавших – это дети в возрасте от 7 до 10 лет.</w:t>
      </w:r>
    </w:p>
    <w:p w:rsidR="00A67DC6" w:rsidRPr="005A44EE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Из 51 пострадавшего ребенка – 31 мальчик и 20 девочек.</w:t>
      </w:r>
    </w:p>
    <w:p w:rsidR="00A67DC6" w:rsidRPr="005A44EE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Рост числа ДТП с участием несовершеннолетних отмечается в следующих городах и районах республики: Сыктывкар 18 (АППГ – 12), Инта 1 (АППГ – 0), Усинск 5 (АППГ – 0), </w:t>
      </w:r>
      <w:proofErr w:type="spellStart"/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Прилузский</w:t>
      </w:r>
      <w:proofErr w:type="spellEnd"/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1 (АППГ – 0), </w:t>
      </w:r>
      <w:proofErr w:type="spellStart"/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Корткеросский</w:t>
      </w:r>
      <w:proofErr w:type="spellEnd"/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2 (АППГ – 1), </w:t>
      </w:r>
      <w:proofErr w:type="spellStart"/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Ижемский</w:t>
      </w:r>
      <w:proofErr w:type="spellEnd"/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1 (АППГ – 0).</w:t>
      </w:r>
    </w:p>
    <w:p w:rsidR="00A67DC6" w:rsidRPr="005A44EE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Общее количество ДТП за прошедшие месяцы: январь – 15 (33,3%), февраль 11 (24,4%), март 16 (35,6%), апрель 3 (6,7%)</w:t>
      </w:r>
    </w:p>
    <w:p w:rsidR="00A67DC6" w:rsidRPr="000B27F5" w:rsidRDefault="00A67DC6" w:rsidP="00A67DC6">
      <w:pPr>
        <w:suppressAutoHyphens w:val="0"/>
        <w:jc w:val="center"/>
        <w:rPr>
          <w:rFonts w:eastAsia="Times New Roman"/>
          <w:snapToGrid w:val="0"/>
          <w:kern w:val="0"/>
          <w:sz w:val="20"/>
          <w:szCs w:val="28"/>
          <w:lang w:eastAsia="ru-RU"/>
        </w:rPr>
      </w:pPr>
      <w:r>
        <w:rPr>
          <w:rFonts w:eastAsia="Times New Roman"/>
          <w:noProof/>
          <w:kern w:val="0"/>
          <w:sz w:val="20"/>
          <w:szCs w:val="28"/>
          <w:lang w:eastAsia="ru-RU"/>
        </w:rPr>
        <w:drawing>
          <wp:inline distT="0" distB="0" distL="0" distR="0">
            <wp:extent cx="4000500" cy="23717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7DC6" w:rsidRPr="005A44EE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Распределение ДТП по дням недели: наибольшее количество ДТП произошло в среду, четверг и пятницу – 8 ДТП (17,8 %) и в субботу – 7 (15,5%) соответственно, наименьшее число ДТП произошло в воскресенье 4 ДТП (8,9%).</w:t>
      </w:r>
    </w:p>
    <w:p w:rsidR="00A67DC6" w:rsidRPr="000B27F5" w:rsidRDefault="00A67DC6" w:rsidP="00A67DC6">
      <w:pPr>
        <w:suppressAutoHyphens w:val="0"/>
        <w:jc w:val="center"/>
        <w:rPr>
          <w:rFonts w:eastAsia="Times New Roman"/>
          <w:snapToGrid w:val="0"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3971925" cy="22574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7DC6" w:rsidRPr="005A44EE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ДТП по времени суток: </w:t>
      </w:r>
    </w:p>
    <w:p w:rsidR="00A67DC6" w:rsidRPr="005A44EE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– утром (с 6-00 до 12-00) – 9 (20%);</w:t>
      </w:r>
    </w:p>
    <w:p w:rsidR="00A67DC6" w:rsidRPr="005A44EE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– днем (с 12-00 до 18-00) – 25 (55,6%);</w:t>
      </w:r>
    </w:p>
    <w:p w:rsidR="00A67DC6" w:rsidRPr="005A44EE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– вечером (с 18-00 до 24-00) – 10 (22,2%); </w:t>
      </w:r>
    </w:p>
    <w:p w:rsidR="00A67DC6" w:rsidRPr="005A44EE" w:rsidRDefault="00A67DC6" w:rsidP="00A67DC6">
      <w:pPr>
        <w:tabs>
          <w:tab w:val="center" w:pos="5037"/>
        </w:tabs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– ночью (с 24-00 до 6-00) – 1 (2,2%). </w:t>
      </w:r>
    </w:p>
    <w:p w:rsidR="00A67DC6" w:rsidRPr="005A44EE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В светлое время суток произошло 23 ДТП, в темное время 22. </w:t>
      </w:r>
    </w:p>
    <w:p w:rsidR="00A67DC6" w:rsidRPr="005A44EE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Распределение пострадавших несовершеннолетних по категориям участников дорожного движения: 24 пешехода (из них 1 погиб), 26 пассажиров и 1 иной участник дорожного движения. </w:t>
      </w:r>
    </w:p>
    <w:p w:rsidR="00A67DC6" w:rsidRPr="000B27F5" w:rsidRDefault="00A67DC6" w:rsidP="00A67DC6">
      <w:pPr>
        <w:widowControl/>
        <w:suppressAutoHyphens w:val="0"/>
        <w:jc w:val="center"/>
        <w:rPr>
          <w:rFonts w:eastAsia="Times New Roman"/>
          <w:snapToGrid w:val="0"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3895725" cy="2514600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7DC6" w:rsidRPr="005A44EE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В 24 зарегистрированных ДТП (53,3% от общего числа ДТП) (АППГ- 26) с участием детей – пешеходов, 23 несовершеннолетних получили травмы и один ребенок погиб. </w:t>
      </w:r>
    </w:p>
    <w:p w:rsidR="00A67DC6" w:rsidRPr="000B27F5" w:rsidRDefault="00A67DC6" w:rsidP="00A67DC6">
      <w:pPr>
        <w:suppressAutoHyphens w:val="0"/>
        <w:jc w:val="center"/>
        <w:rPr>
          <w:rFonts w:eastAsia="Times New Roman"/>
          <w:b/>
          <w:snapToGrid w:val="0"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3924300" cy="25908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7DC6" w:rsidRPr="000B27F5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8"/>
          <w:szCs w:val="28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Все пострадавшие дети – пешеходы получили травмы в населенных пунктах. 7 детей – пешеходов в момент ДТП находились в сопровождении</w:t>
      </w:r>
      <w:r w:rsidRPr="000B27F5">
        <w:rPr>
          <w:rFonts w:eastAsia="Times New Roman"/>
          <w:snapToGrid w:val="0"/>
          <w:kern w:val="0"/>
          <w:sz w:val="28"/>
          <w:szCs w:val="28"/>
          <w:lang w:eastAsia="ru-RU"/>
        </w:rPr>
        <w:t xml:space="preserve"> взрослых. </w:t>
      </w:r>
    </w:p>
    <w:p w:rsidR="00A67DC6" w:rsidRPr="005A44EE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5A44EE">
        <w:rPr>
          <w:rFonts w:eastAsia="Times New Roman"/>
          <w:snapToGrid w:val="0"/>
          <w:kern w:val="0"/>
          <w:sz w:val="22"/>
          <w:szCs w:val="22"/>
          <w:lang w:eastAsia="ru-RU"/>
        </w:rPr>
        <w:t>Распределение детей - пешеходов по возрастным категориям: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2041"/>
        <w:gridCol w:w="2041"/>
      </w:tblGrid>
      <w:tr w:rsidR="00A67DC6" w:rsidRPr="005A44EE" w:rsidTr="004754CE">
        <w:trPr>
          <w:trHeight w:val="20"/>
        </w:trPr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lastRenderedPageBreak/>
              <w:t>Время</w:t>
            </w:r>
          </w:p>
        </w:tc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Кол</w:t>
            </w:r>
            <w:proofErr w:type="gramStart"/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д</w:t>
            </w:r>
            <w:proofErr w:type="gramEnd"/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етей</w:t>
            </w:r>
          </w:p>
        </w:tc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Процент</w:t>
            </w:r>
          </w:p>
        </w:tc>
      </w:tr>
      <w:tr w:rsidR="00A67DC6" w:rsidRPr="005A44EE" w:rsidTr="004754CE">
        <w:trPr>
          <w:trHeight w:val="20"/>
        </w:trPr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0 –2 года</w:t>
            </w:r>
          </w:p>
        </w:tc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A67DC6" w:rsidRPr="005A44EE" w:rsidTr="004754CE">
        <w:trPr>
          <w:trHeight w:val="20"/>
        </w:trPr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3 – 6 лет</w:t>
            </w:r>
          </w:p>
        </w:tc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20,8%</w:t>
            </w:r>
          </w:p>
        </w:tc>
      </w:tr>
      <w:tr w:rsidR="00A67DC6" w:rsidRPr="005A44EE" w:rsidTr="004754CE">
        <w:trPr>
          <w:trHeight w:val="20"/>
        </w:trPr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7 – 10 лет</w:t>
            </w:r>
          </w:p>
        </w:tc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54,2%</w:t>
            </w:r>
          </w:p>
        </w:tc>
      </w:tr>
      <w:tr w:rsidR="00A67DC6" w:rsidRPr="005A44EE" w:rsidTr="004754CE">
        <w:trPr>
          <w:trHeight w:val="20"/>
        </w:trPr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11 – 15 лет</w:t>
            </w:r>
          </w:p>
        </w:tc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41" w:type="dxa"/>
            <w:shd w:val="clear" w:color="auto" w:fill="auto"/>
          </w:tcPr>
          <w:p w:rsidR="00A67DC6" w:rsidRPr="005A44EE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5A44EE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25%</w:t>
            </w:r>
          </w:p>
        </w:tc>
      </w:tr>
    </w:tbl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ДТП по времени суток: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559"/>
        <w:gridCol w:w="1985"/>
      </w:tblGrid>
      <w:tr w:rsidR="00A67DC6" w:rsidRPr="00F71743" w:rsidTr="004754CE">
        <w:tc>
          <w:tcPr>
            <w:tcW w:w="2547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Кол</w:t>
            </w:r>
            <w:proofErr w:type="gramStart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д</w:t>
            </w:r>
            <w:proofErr w:type="gramEnd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етей</w:t>
            </w:r>
          </w:p>
        </w:tc>
        <w:tc>
          <w:tcPr>
            <w:tcW w:w="1985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Процент</w:t>
            </w:r>
          </w:p>
        </w:tc>
      </w:tr>
      <w:tr w:rsidR="00A67DC6" w:rsidRPr="00F71743" w:rsidTr="004754CE">
        <w:tc>
          <w:tcPr>
            <w:tcW w:w="2547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12,5%</w:t>
            </w:r>
          </w:p>
        </w:tc>
      </w:tr>
      <w:tr w:rsidR="00A67DC6" w:rsidRPr="00F71743" w:rsidTr="004754CE">
        <w:tc>
          <w:tcPr>
            <w:tcW w:w="2547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9:00 – 12:00</w:t>
            </w:r>
          </w:p>
        </w:tc>
        <w:tc>
          <w:tcPr>
            <w:tcW w:w="1559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8,3%</w:t>
            </w:r>
          </w:p>
        </w:tc>
      </w:tr>
      <w:tr w:rsidR="00A67DC6" w:rsidRPr="00F71743" w:rsidTr="004754CE">
        <w:tc>
          <w:tcPr>
            <w:tcW w:w="2547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25%</w:t>
            </w:r>
          </w:p>
        </w:tc>
      </w:tr>
      <w:tr w:rsidR="00A67DC6" w:rsidRPr="00F71743" w:rsidTr="004754CE">
        <w:tc>
          <w:tcPr>
            <w:tcW w:w="2547" w:type="dxa"/>
            <w:shd w:val="clear" w:color="auto" w:fill="auto"/>
          </w:tcPr>
          <w:p w:rsidR="00A67DC6" w:rsidRPr="00F71743" w:rsidRDefault="00A67DC6" w:rsidP="004754CE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41,6%</w:t>
            </w:r>
          </w:p>
        </w:tc>
      </w:tr>
      <w:tr w:rsidR="00A67DC6" w:rsidRPr="00F71743" w:rsidTr="004754CE">
        <w:tc>
          <w:tcPr>
            <w:tcW w:w="2547" w:type="dxa"/>
            <w:shd w:val="clear" w:color="auto" w:fill="auto"/>
          </w:tcPr>
          <w:p w:rsidR="00A67DC6" w:rsidRPr="00F71743" w:rsidRDefault="00A67DC6" w:rsidP="004754CE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12,5%</w:t>
            </w:r>
          </w:p>
        </w:tc>
      </w:tr>
    </w:tbl>
    <w:p w:rsidR="00A67DC6" w:rsidRPr="00F71743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На пешеходных переходах пострадали 10 детей (41,6%), из них 3 были в сопровождении родителей, из которых один ребенок погиб (все в </w:t>
      </w:r>
      <w:proofErr w:type="gramStart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г</w:t>
      </w:r>
      <w:proofErr w:type="gramEnd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. Сыктывкаре). </w:t>
      </w:r>
    </w:p>
    <w:p w:rsidR="00A67DC6" w:rsidRPr="00F71743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По собственной неосторожности пострадали 11 несовершеннолетних пешеходов (45,8%) из них 3 были в сопровождении взрослых (гг. Сыктывкар, Ухта, Печора). </w:t>
      </w:r>
    </w:p>
    <w:p w:rsidR="00A67DC6" w:rsidRPr="00F71743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Причины ДТП по неосторожности детей: </w:t>
      </w:r>
    </w:p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– переход проезжей части вне пешеходного перехода (вне его видимости) – 2;</w:t>
      </w:r>
    </w:p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– переход проезжей части вне пешеходного перехода, в зоне его видимости – 3 ребенок (1 в сопровождении взрослого);</w:t>
      </w:r>
    </w:p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– выход на проезжую часть из-за препятствия – 2;</w:t>
      </w:r>
    </w:p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– </w:t>
      </w:r>
      <w:proofErr w:type="gramStart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перед</w:t>
      </w:r>
      <w:proofErr w:type="gramEnd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близко идущим ТС – 1 (1 ребенок в сопровождении взрослого);</w:t>
      </w:r>
    </w:p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– на красный сигнал светофора – 2 (1 в сопровождении матери – погиб);</w:t>
      </w:r>
    </w:p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– игра на проезжей части – 0;</w:t>
      </w:r>
    </w:p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A67DC6" w:rsidRPr="00F71743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proofErr w:type="spellStart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Световозвращающие</w:t>
      </w:r>
      <w:proofErr w:type="spellEnd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элементы присутствовали на одежде у 12 (50%) несовершеннолетних – пешеходов. В темное время суток пострадали 8 (33,3%) несовершеннолетних пешеходов из них </w:t>
      </w:r>
      <w:proofErr w:type="spellStart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световозвращающие</w:t>
      </w:r>
      <w:proofErr w:type="spellEnd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элементы были у 3 детей.</w:t>
      </w:r>
    </w:p>
    <w:p w:rsidR="00A67DC6" w:rsidRPr="00F71743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14 ДТП произошли по маршруту «Дом – Школа – Дом».</w:t>
      </w:r>
    </w:p>
    <w:p w:rsidR="00A67DC6" w:rsidRPr="00F71743" w:rsidRDefault="00A67DC6" w:rsidP="00A67DC6">
      <w:pPr>
        <w:widowControl/>
        <w:suppressAutoHyphens w:val="0"/>
        <w:jc w:val="both"/>
        <w:rPr>
          <w:rFonts w:eastAsia="Times New Roman"/>
          <w:b/>
          <w:snapToGrid w:val="0"/>
          <w:kern w:val="0"/>
          <w:sz w:val="22"/>
          <w:szCs w:val="22"/>
          <w:lang w:eastAsia="ru-RU"/>
        </w:rPr>
      </w:pPr>
    </w:p>
    <w:p w:rsidR="00A67DC6" w:rsidRPr="00F71743" w:rsidRDefault="00A67DC6" w:rsidP="00A67DC6">
      <w:pPr>
        <w:widowControl/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В 20 ДТП (44,4% от общего числа ДТП) (АППГ – 19) пострадали 26 несовершеннолетних пассажиров. </w:t>
      </w:r>
    </w:p>
    <w:p w:rsidR="00A67DC6" w:rsidRPr="000B27F5" w:rsidRDefault="00A67DC6" w:rsidP="00A67DC6">
      <w:pPr>
        <w:suppressAutoHyphens w:val="0"/>
        <w:ind w:firstLine="851"/>
        <w:jc w:val="center"/>
        <w:rPr>
          <w:rFonts w:eastAsia="Times New Roman"/>
          <w:snapToGrid w:val="0"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3867150" cy="235267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7DC6" w:rsidRPr="00F71743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Из 24 несовершеннолетних пассажиров 15 (62,5%) – перевозились с использованием детских </w:t>
      </w: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lastRenderedPageBreak/>
        <w:t>удерживающих систем или ремней безопасности.</w:t>
      </w:r>
    </w:p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Распределение ДУС: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843"/>
        <w:gridCol w:w="1843"/>
      </w:tblGrid>
      <w:tr w:rsidR="00A67DC6" w:rsidRPr="00F71743" w:rsidTr="004754CE">
        <w:tc>
          <w:tcPr>
            <w:tcW w:w="2972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Кол</w:t>
            </w:r>
            <w:proofErr w:type="gramStart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д</w:t>
            </w:r>
            <w:proofErr w:type="gramEnd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етей</w:t>
            </w:r>
          </w:p>
        </w:tc>
        <w:tc>
          <w:tcPr>
            <w:tcW w:w="1843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Процент</w:t>
            </w:r>
          </w:p>
        </w:tc>
      </w:tr>
      <w:tr w:rsidR="00A67DC6" w:rsidRPr="00F71743" w:rsidTr="004754CE">
        <w:tc>
          <w:tcPr>
            <w:tcW w:w="2972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proofErr w:type="spellStart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Автолюлька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6,7%</w:t>
            </w:r>
          </w:p>
        </w:tc>
      </w:tr>
      <w:tr w:rsidR="00A67DC6" w:rsidRPr="00F71743" w:rsidTr="004754CE">
        <w:tc>
          <w:tcPr>
            <w:tcW w:w="2972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proofErr w:type="spellStart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Автокресло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46,7%</w:t>
            </w:r>
          </w:p>
        </w:tc>
      </w:tr>
      <w:tr w:rsidR="00A67DC6" w:rsidRPr="00F71743" w:rsidTr="004754CE">
        <w:tc>
          <w:tcPr>
            <w:tcW w:w="2972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46,7%</w:t>
            </w:r>
          </w:p>
        </w:tc>
      </w:tr>
    </w:tbl>
    <w:p w:rsidR="00A67DC6" w:rsidRPr="00F71743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Один ребенок в момент ДТП находился на руках матери, один в </w:t>
      </w:r>
      <w:proofErr w:type="spellStart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автокресле</w:t>
      </w:r>
      <w:proofErr w:type="spellEnd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, установленном с нарушениями. 21 несовершеннолетний в момент ДТП находился на заднем пассажирском сидении, 5 на переднем. </w:t>
      </w:r>
    </w:p>
    <w:p w:rsidR="00A67DC6" w:rsidRPr="00F71743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16 пострадавших получили травмы вне населенного пункта, в населенном пункте в ДТП пострадали 10 несовершеннолетних. </w:t>
      </w:r>
    </w:p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</w:p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Распределение ДТП по категориям дорог: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1701"/>
        <w:gridCol w:w="1986"/>
      </w:tblGrid>
      <w:tr w:rsidR="00A67DC6" w:rsidRPr="00F71743" w:rsidTr="004754CE">
        <w:tc>
          <w:tcPr>
            <w:tcW w:w="3681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Значение дороги</w:t>
            </w:r>
          </w:p>
        </w:tc>
        <w:tc>
          <w:tcPr>
            <w:tcW w:w="1701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Кол. ДТП</w:t>
            </w:r>
          </w:p>
        </w:tc>
        <w:tc>
          <w:tcPr>
            <w:tcW w:w="1986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Процент</w:t>
            </w:r>
          </w:p>
        </w:tc>
      </w:tr>
      <w:tr w:rsidR="00A67DC6" w:rsidRPr="00F71743" w:rsidTr="004754CE">
        <w:tc>
          <w:tcPr>
            <w:tcW w:w="3681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Федеральная</w:t>
            </w:r>
          </w:p>
        </w:tc>
        <w:tc>
          <w:tcPr>
            <w:tcW w:w="1701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5%</w:t>
            </w:r>
          </w:p>
        </w:tc>
      </w:tr>
      <w:tr w:rsidR="00A67DC6" w:rsidRPr="00F71743" w:rsidTr="004754CE">
        <w:tc>
          <w:tcPr>
            <w:tcW w:w="3681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 xml:space="preserve">Региональная или местная </w:t>
            </w:r>
          </w:p>
        </w:tc>
        <w:tc>
          <w:tcPr>
            <w:tcW w:w="1701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6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50%</w:t>
            </w:r>
          </w:p>
        </w:tc>
      </w:tr>
      <w:tr w:rsidR="00A67DC6" w:rsidRPr="00F71743" w:rsidTr="004754CE">
        <w:tc>
          <w:tcPr>
            <w:tcW w:w="3681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Муниципальная</w:t>
            </w:r>
          </w:p>
        </w:tc>
        <w:tc>
          <w:tcPr>
            <w:tcW w:w="1701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45%</w:t>
            </w:r>
          </w:p>
        </w:tc>
      </w:tr>
    </w:tbl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В 9 ДТП (45%) дети находились в ТС виновника, а в 10 ДТП (50%) в автомашине иностранного производства. </w:t>
      </w:r>
    </w:p>
    <w:p w:rsidR="00A67DC6" w:rsidRPr="00F71743" w:rsidRDefault="00A67DC6" w:rsidP="00A67DC6">
      <w:pPr>
        <w:widowControl/>
        <w:suppressAutoHyphens w:val="0"/>
        <w:jc w:val="both"/>
        <w:rPr>
          <w:rFonts w:eastAsia="Times New Roman"/>
          <w:b/>
          <w:snapToGrid w:val="0"/>
          <w:kern w:val="0"/>
          <w:sz w:val="22"/>
          <w:szCs w:val="22"/>
          <w:lang w:eastAsia="ru-RU"/>
        </w:rPr>
      </w:pPr>
    </w:p>
    <w:p w:rsidR="00A67DC6" w:rsidRPr="00F71743" w:rsidRDefault="00A67DC6" w:rsidP="00A67DC6">
      <w:pPr>
        <w:widowControl/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В 1 ДТП (2,2%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Усть-Цилемский</w:t>
      </w:r>
      <w:proofErr w:type="spellEnd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район). </w:t>
      </w:r>
    </w:p>
    <w:p w:rsidR="00A67DC6" w:rsidRPr="00F71743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</w:p>
    <w:p w:rsidR="00A67DC6" w:rsidRPr="00F71743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Таким образом, за два месяца 2018 года по неосторожности детей произошло 11 ДТП (24,4%) (АППГ – 12). По сравнению с аналогичным периодом прошлого года количество ДТП, где усматривается вина </w:t>
      </w:r>
      <w:proofErr w:type="gramStart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несовершеннолетних</w:t>
      </w:r>
      <w:proofErr w:type="gramEnd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уменьшилось на 8,3%.</w:t>
      </w:r>
    </w:p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Стаж водителей (виновников) ДТП с участием несовершеннолетних: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126"/>
        <w:gridCol w:w="1418"/>
      </w:tblGrid>
      <w:tr w:rsidR="00A67DC6" w:rsidRPr="00F71743" w:rsidTr="004754CE">
        <w:tc>
          <w:tcPr>
            <w:tcW w:w="2547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Кол</w:t>
            </w:r>
            <w:proofErr w:type="gramStart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.</w:t>
            </w:r>
            <w:proofErr w:type="gramEnd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в</w:t>
            </w:r>
            <w:proofErr w:type="gramEnd"/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одителей</w:t>
            </w:r>
          </w:p>
        </w:tc>
        <w:tc>
          <w:tcPr>
            <w:tcW w:w="1418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Процент</w:t>
            </w:r>
          </w:p>
        </w:tc>
      </w:tr>
      <w:tr w:rsidR="00A67DC6" w:rsidRPr="00F71743" w:rsidTr="004754CE">
        <w:tc>
          <w:tcPr>
            <w:tcW w:w="2547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11,9%</w:t>
            </w:r>
          </w:p>
        </w:tc>
      </w:tr>
      <w:tr w:rsidR="00A67DC6" w:rsidRPr="00F71743" w:rsidTr="004754CE">
        <w:tc>
          <w:tcPr>
            <w:tcW w:w="2547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28,6%</w:t>
            </w:r>
          </w:p>
        </w:tc>
      </w:tr>
      <w:tr w:rsidR="00A67DC6" w:rsidRPr="00F71743" w:rsidTr="004754CE">
        <w:tc>
          <w:tcPr>
            <w:tcW w:w="2547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jc w:val="both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16,7%</w:t>
            </w:r>
          </w:p>
        </w:tc>
      </w:tr>
      <w:tr w:rsidR="00A67DC6" w:rsidRPr="00F71743" w:rsidTr="004754CE">
        <w:tc>
          <w:tcPr>
            <w:tcW w:w="2547" w:type="dxa"/>
            <w:shd w:val="clear" w:color="auto" w:fill="auto"/>
          </w:tcPr>
          <w:p w:rsidR="00A67DC6" w:rsidRPr="00F71743" w:rsidRDefault="00A67DC6" w:rsidP="004754CE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A67DC6" w:rsidRPr="00F71743" w:rsidRDefault="00A67DC6" w:rsidP="004754CE">
            <w:pPr>
              <w:suppressAutoHyphens w:val="0"/>
              <w:spacing w:after="200" w:line="276" w:lineRule="auto"/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</w:pPr>
            <w:r w:rsidRPr="00F71743">
              <w:rPr>
                <w:rFonts w:eastAsia="Times New Roman"/>
                <w:snapToGrid w:val="0"/>
                <w:kern w:val="0"/>
                <w:sz w:val="22"/>
                <w:szCs w:val="22"/>
                <w:lang w:eastAsia="ru-RU"/>
              </w:rPr>
              <w:t>42,8%</w:t>
            </w:r>
          </w:p>
        </w:tc>
      </w:tr>
    </w:tbl>
    <w:p w:rsidR="00A67DC6" w:rsidRPr="00F71743" w:rsidRDefault="00A67DC6" w:rsidP="00A67DC6">
      <w:pPr>
        <w:suppressAutoHyphens w:val="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*3-ое водителей скрылись с места ДТП</w:t>
      </w:r>
    </w:p>
    <w:p w:rsidR="00A67DC6" w:rsidRPr="00F71743" w:rsidRDefault="00A67DC6" w:rsidP="00A67DC6">
      <w:pPr>
        <w:suppressAutoHyphens w:val="0"/>
        <w:ind w:firstLine="851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ДТП с участием </w:t>
      </w:r>
      <w:proofErr w:type="gramStart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водителей</w:t>
      </w:r>
      <w:proofErr w:type="gramEnd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не имеющих водительского удостоверения за указанный период не произошло. По вине </w:t>
      </w:r>
      <w:proofErr w:type="gramStart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водителей, управляющих транспортными средствами в состоянии опьянения зарегистрировано</w:t>
      </w:r>
      <w:proofErr w:type="gramEnd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3 ДТП (гг. Сыктывкар, Усинск и </w:t>
      </w:r>
      <w:proofErr w:type="spellStart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Усть</w:t>
      </w:r>
      <w:proofErr w:type="spellEnd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– </w:t>
      </w:r>
      <w:proofErr w:type="spellStart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>Цилемский</w:t>
      </w:r>
      <w:proofErr w:type="spellEnd"/>
      <w:r w:rsidRPr="00F71743">
        <w:rPr>
          <w:rFonts w:eastAsia="Times New Roman"/>
          <w:snapToGrid w:val="0"/>
          <w:kern w:val="0"/>
          <w:sz w:val="22"/>
          <w:szCs w:val="22"/>
          <w:lang w:eastAsia="ru-RU"/>
        </w:rPr>
        <w:t xml:space="preserve"> район).</w:t>
      </w:r>
    </w:p>
    <w:p w:rsidR="00A67DC6" w:rsidRPr="00F71743" w:rsidRDefault="00A67DC6" w:rsidP="00A67DC6">
      <w:pPr>
        <w:suppressAutoHyphens w:val="0"/>
        <w:ind w:firstLine="720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</w:p>
    <w:p w:rsidR="00A67DC6" w:rsidRPr="00F71743" w:rsidRDefault="00A67DC6" w:rsidP="00A67DC6">
      <w:pPr>
        <w:tabs>
          <w:tab w:val="left" w:pos="993"/>
        </w:tabs>
        <w:rPr>
          <w:sz w:val="22"/>
          <w:szCs w:val="22"/>
        </w:rPr>
      </w:pPr>
    </w:p>
    <w:p w:rsidR="00CF29F6" w:rsidRDefault="00CF29F6"/>
    <w:sectPr w:rsidR="00CF29F6" w:rsidSect="003B4ACB">
      <w:pgSz w:w="11906" w:h="16838"/>
      <w:pgMar w:top="709" w:right="70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C6"/>
    <w:rsid w:val="00A67DC6"/>
    <w:rsid w:val="00C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A67DC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7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C6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1</c:v>
                </c:pt>
                <c:pt idx="2">
                  <c:v>55</c:v>
                </c:pt>
              </c:numCache>
            </c:numRef>
          </c:val>
        </c:ser>
        <c:gapWidth val="219"/>
        <c:overlap val="-27"/>
        <c:axId val="115187712"/>
        <c:axId val="115189248"/>
      </c:barChart>
      <c:catAx>
        <c:axId val="115187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89248"/>
        <c:crosses val="autoZero"/>
        <c:auto val="1"/>
        <c:lblAlgn val="ctr"/>
        <c:lblOffset val="100"/>
      </c:catAx>
      <c:valAx>
        <c:axId val="115189248"/>
        <c:scaling>
          <c:orientation val="minMax"/>
          <c:max val="6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87712"/>
        <c:crosses val="autoZero"/>
        <c:crossBetween val="between"/>
        <c:majorUnit val="10"/>
      </c:valAx>
      <c:spPr>
        <a:noFill/>
        <a:ln w="25399">
          <a:noFill/>
        </a:ln>
      </c:spPr>
    </c:plotArea>
    <c:legend>
      <c:legendPos val="b"/>
      <c:layout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74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11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74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17</c:v>
                </c:pt>
                <c:pt idx="1">
                  <c:v>11</c:v>
                </c:pt>
                <c:pt idx="2">
                  <c:v>19</c:v>
                </c:pt>
                <c:pt idx="3">
                  <c:v>4</c:v>
                </c:pt>
              </c:numCache>
            </c:numRef>
          </c:val>
        </c:ser>
        <c:marker val="1"/>
        <c:axId val="134879488"/>
        <c:axId val="115150848"/>
      </c:lineChart>
      <c:catAx>
        <c:axId val="134879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50848"/>
        <c:crosses val="autoZero"/>
        <c:auto val="1"/>
        <c:lblAlgn val="ctr"/>
        <c:lblOffset val="100"/>
      </c:catAx>
      <c:valAx>
        <c:axId val="115150848"/>
        <c:scaling>
          <c:orientation val="minMax"/>
          <c:max val="23"/>
          <c:min val="5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879488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b"/>
      <c:layout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Width val="8"/>
        <c:overlap val="-57"/>
        <c:axId val="126168448"/>
        <c:axId val="126215296"/>
      </c:barChart>
      <c:catAx>
        <c:axId val="126168448"/>
        <c:scaling>
          <c:orientation val="minMax"/>
        </c:scaling>
        <c:axPos val="b"/>
        <c:numFmt formatCode="General" sourceLinked="0"/>
        <c:tickLblPos val="nextTo"/>
        <c:crossAx val="126215296"/>
        <c:crosses val="autoZero"/>
        <c:auto val="1"/>
        <c:lblAlgn val="ctr"/>
        <c:lblOffset val="100"/>
      </c:catAx>
      <c:valAx>
        <c:axId val="126215296"/>
        <c:scaling>
          <c:orientation val="minMax"/>
          <c:max val="15"/>
        </c:scaling>
        <c:axPos val="l"/>
        <c:majorGridlines/>
        <c:numFmt formatCode="General" sourceLinked="1"/>
        <c:tickLblPos val="nextTo"/>
        <c:crossAx val="126168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17616520401899"/>
          <c:w val="1"/>
          <c:h val="6.4813440170199188E-2"/>
        </c:manualLayout>
      </c:layout>
    </c:legend>
    <c:plotVisOnly val="1"/>
    <c:dispBlanksAs val="gap"/>
  </c:chart>
  <c:spPr>
    <a:noFill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 участников</a:t>
            </a:r>
          </a:p>
        </c:rich>
      </c:tx>
      <c:layout/>
      <c:spPr>
        <a:noFill/>
        <a:ln w="25367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67">
              <a:noFill/>
            </a:ln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67">
              <a:noFill/>
            </a:ln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219"/>
        <c:overlap val="-27"/>
        <c:axId val="125483648"/>
        <c:axId val="125493632"/>
      </c:barChart>
      <c:catAx>
        <c:axId val="125483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493632"/>
        <c:crosses val="autoZero"/>
        <c:auto val="1"/>
        <c:lblAlgn val="ctr"/>
        <c:lblOffset val="100"/>
      </c:catAx>
      <c:valAx>
        <c:axId val="125493632"/>
        <c:scaling>
          <c:orientation val="minMax"/>
        </c:scaling>
        <c:axPos val="l"/>
        <c:majorGridlines>
          <c:spPr>
            <a:ln w="951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4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483648"/>
        <c:crosses val="autoZero"/>
        <c:crossBetween val="between"/>
      </c:valAx>
      <c:spPr>
        <a:noFill/>
        <a:ln w="25367">
          <a:noFill/>
        </a:ln>
      </c:spPr>
    </c:plotArea>
    <c:legend>
      <c:legendPos val="b"/>
      <c:layout/>
      <c:spPr>
        <a:noFill/>
        <a:ln w="2536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layout/>
      <c:spPr>
        <a:noFill/>
        <a:ln w="25399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0</c:v>
                </c:pt>
                <c:pt idx="2">
                  <c:v>28</c:v>
                </c:pt>
              </c:numCache>
            </c:numRef>
          </c:val>
        </c:ser>
        <c:gapWidth val="219"/>
        <c:overlap val="-27"/>
        <c:axId val="123650816"/>
        <c:axId val="123652352"/>
      </c:barChart>
      <c:catAx>
        <c:axId val="123650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652352"/>
        <c:crosses val="autoZero"/>
        <c:auto val="1"/>
        <c:lblAlgn val="ctr"/>
        <c:lblOffset val="100"/>
      </c:catAx>
      <c:valAx>
        <c:axId val="123652352"/>
        <c:scaling>
          <c:orientation val="minMax"/>
          <c:max val="3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650816"/>
        <c:crosses val="autoZero"/>
        <c:crossBetween val="between"/>
        <c:majorUnit val="2"/>
      </c:valAx>
      <c:spPr>
        <a:noFill/>
        <a:ln w="25399">
          <a:noFill/>
        </a:ln>
      </c:spPr>
    </c:plotArea>
    <c:legend>
      <c:legendPos val="b"/>
      <c:layout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layout/>
      <c:spPr>
        <a:noFill/>
        <a:ln w="25373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 w="25373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 w="25373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1</c:v>
                </c:pt>
                <c:pt idx="2">
                  <c:v>26</c:v>
                </c:pt>
              </c:numCache>
            </c:numRef>
          </c:val>
        </c:ser>
        <c:gapWidth val="219"/>
        <c:overlap val="-27"/>
        <c:axId val="115104768"/>
        <c:axId val="115107328"/>
      </c:barChart>
      <c:catAx>
        <c:axId val="115104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07328"/>
        <c:crosses val="autoZero"/>
        <c:auto val="1"/>
        <c:lblAlgn val="ctr"/>
        <c:lblOffset val="100"/>
      </c:catAx>
      <c:valAx>
        <c:axId val="115107328"/>
        <c:scaling>
          <c:orientation val="minMax"/>
        </c:scaling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04768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layout/>
      <c:spPr>
        <a:noFill/>
        <a:ln w="2537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Company>sad3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2018-05-16T05:41:00Z</dcterms:created>
  <dcterms:modified xsi:type="dcterms:W3CDTF">2018-05-16T05:42:00Z</dcterms:modified>
</cp:coreProperties>
</file>